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Дмитрия Владимировича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Д.В.Коробейникова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Д.В.Коробейников оспаривает конституционность части первой статьи 236 Трудового кодекса Российской Федерации (в редакции до вступления в силу Федерального закона от 30 января 2024 года № 3-ФЗ),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2 за каждый день задержки начиная со следующего дня после установленного срока выплаты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заявителя, оспариваемая норма, примененная в его деле судом, противоречит статьям 19 (части 1 и 2), 21 (часть 1), 45 (часть 1), 46 (часть 1), 55 (часть 3) и 751 Конституции Российской Федерации в той мере, в какой по смыслу, придаваемому ей судебным толкованием, не обеспечивает взыскания с работодателя процентов (денежной компенсации) в случае, когда полагающиеся работнику выплаты – в нарушение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 и трудового договора, – не были начислены своевременно, а решением суда было признано право работника на их получение с исчислением размера таких процентов (денежной компенсации) из фактически не выплаченных денежных сумм со дня, следующего за днем, когда в соответствии с действующим правовым регулированием эти выплаты должны были быть выплачены при своевременном их начислении.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соответствии Конституции Российской Федерации части первой статьи 236 Трудового кодекса Российской Федерации был разрешен Конституционным Судом Российской Федерации в Постановлении от 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Дмитрия Владимировича,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