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Мальцевой Елены Сергеевны на нарушение ее конституционных прав статьями 15 и 1102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Е.С.Мальцевой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Е.С.Мальцева оспаривает конституционность статей 15 «Возмещение убытков» и 1102 «Обязанность возвратить неосновательное обогащение» ГК Российской Федерации. Из представленных материалов следует, что заявительница – собственник земельного участка, относящегося к землям сельскохозяйственного назначения, и коммерческая организация, осуществлявшая строительство линейного объекта на части этого участка, заключили договор о возмещении убытков, рассчитанных исходя из стоимости будущих затрат на восстановление Е.С.Мальцевой плодородия почв (биологическая рекультивация) и предполагаемого на основе бизнес- плана размера неполученных доходов, связанных с выращиванием томатов; 2 указанное возмещение выплачено. Впоследствии коммерческая организация, ссылаясь на нарушение заявительницей условий договора и бизнес-плана (не осуществлена биологическая рекультивация, получена выгода от выращивания пшеницы), обратилась в суд общей юрисдикции с иском о взыскании с Е.С.Мальцевой неосновательного обогащения, который был удовлетворен апелляционным определением, с чем согласились суды кассационной инстанции. По мнению заявительницы, оспариваемые законоположения не соответствуют статье 35 Конституции Российской Федерации, поскольку они позволяют судам рассматривать в качестве неосновательного обогащения денежные суммы, выплаченные согласно условиям договора собственнику земельного участка за причиненный ему ущерб.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15 ГК Российской Федерации, направленная на полное возмещение причиненного вреда, а тем самым – на реализацию провозглашенного в статье 35 (часть 1) Конституции Российской Федерации принципа охраны права частной собственности законом, а также статья 1102 того же Кодекса, закрепляющая правовые последствия неосновательного обогащения и обеспечивающая защиту имущественных прав участников гражданского оборота, сами по себе не могут расцениваться в качестве нарушающих конституционные права заявительницы, в деле с участием которой суды пришли к выводу о несоблюдении ею условий договора и заявленного бизнес-плана, непосредственно влияющих на определение размера убытков. В компетенцию же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Федерации», установление и исследование фактических обстоятельств конкретного дела не входят.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Мальцевой Елены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