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Кухливской Рузили Шафигуллиевны на нарушение ее конституционных прав статьей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Р.Ш.Кухливской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Р.Ш.Кухливская, исковые требования которой о признании права собственности на земельные участки в силу приобретательной давности удовлетворены в отношении лишь одного из указанных ею объектов, оспаривает конституционность статьи 234 «Приобретательная давность» ГК Российской Федерации. По мнению заявительницы, оспариваемое нормативное положение противоречит статьям 8 (часть 2), 9, 15 (часть 4), 17 (часть 1), 18, 19 (части 1 и 2), 36, 45, 46 (часть 1), 123 (часть 3) и 126 Конституции Российской Федерации в той мере, в какой в системе действующего правового регулирования по 2 смыслу, придаваемому ему правоприменительной практикой, допускает признание права собственности в силу приобретательной давности лишь на один земельный участок.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Кухливской Рузили Шафигуллиевны,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