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460-О/2025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Кочергина Дениса Сергеевича на нарушение его конституционных прав пунктом 2 статьи 15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Д.С.Кочергина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Д.С.Кочергин, являющийся индивидуальным предпринимателем, оспаривает конституционность пункта 2 статьи 15 «Возмещение убытков» ГК Российской Федерации. Как следует из представленных материалов, постановлением арбитражного суда апелляционной инстанции, с которым согласились суды вышестоящих инстанций, с Д.С.Кочергина в пользу индивидуального предпринимателя Ч. взысканы убытки и проценты за пользование чужими денежными средствами. Суды установили, что между сторонами спора сложились отношения, возникшие из договора простого товарищества, и что 2 Д.С.Кочергин обязан возместить часть затрат, произведенных истцом в целях реконструкции принадлежащего товарищам на праве общей долевой собственности объекта недвижимости, и отклонили довод заявителя о том, что заявленные к возмещению расходы были понесены в связи с незаконным самовольным строительством. По мнению Д.С.Кочергина, оспариваемая норма противоречит статье 15 (часть 2) Конституции Российской Федерации, в той мере, в какой она позволяет взыскивать в качестве убытков такие расходы, которые понесены незаконно.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Кочергина Дениса Сергеевича,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