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Бернера Ивана Владимировича на нарушение его конституционных прав пунктом 3 части 5 статьи 20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И.В.Бернера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И.В.Бернер оспаривает конституционность пункта 3 части 5 статьи 20 Жилищного кодекса Российской Федерации (в редакции Федерального закона от 28 июня 2014 года № 200-ФЗ). Из представленных материалов следует, что решением суда общей юрисдикции, с которым согласились суды вышестоящих инстанций, требование заявителя о признании незаконным предписания государственной жилищной инспекции субъекта Российской Федерации оставлено без удовлетворения. Определением судьи Верховного Суда Российской Федерации от 4 сентября 2023 года, с которым согласился заместитель 2 Председателя этого суда (письмо от 15 января 2024 года), отказано в передаче кассационной жалобы И.В.Бернера для рассмотрения в судебном заседании суда кассационной инстанции. По мнению заявителя, толкование оспариваемого законоположения в правоприменительной практике, в том числе в деле с его участием, противоречит Конституции Российской Федерации, в частности ее статье 35. Кроме того, И.В.Бернер просит восстановить пропущенный срок на подачу жалобы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Указанный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Бернера Ивана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