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Гриценко Натальи Викторовны на нарушение ее конституционных прав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Н.В.Гриценко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Н.В.Гриценко оспаривает конституционность пункта 1 статьи 1064 ГК Российской Федерации, а фактически – абзаца первого этого пункта, согласно которому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Из представленных материалов следует, что вступившим в законную силу решением суда общей юрисдикции от 30 июля 2019 года требование заявительницы, а также гражданина Г. к обществу с ограниченной ответственностью о возмещении ущерба, причиненного заливом их квартиры, удовлетворено частично, во взыскании расходов по оплате юридических услуг отказано. 2 Впоследствии в рамках дела о банкротстве этого общества с ограниченной ответственностью определением арбитражного суда, с которым согласились суды вышестоящих инстанций, Н.В.Гриценко отказано во включении в реестр требований кредиторов требований о возмещении указанного ущерба (в размере, равном разнице между суммой ущерба, заявленной к возмещению в суде общей юрисдикции и удовлетворенной этим судом), а также упомянутых расходов по оплате юридических услуг. По мнению заявительницы, применение оспариваемой нормы в данных делах противоречит Конституции Российской Федерации, ее статье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жалобы Н.В.Гриценко к рассмотрению. Абзац первый пункта 1 статьи 1064 ГК Российской Федерации, направленный на защиту и обеспечение восстановления нарушенных прав потерпевших путем полного возмещения причиненного им вреда, служит цели реализации закрепленного в Конституции Российской Федерации принципа охраны права частной собственности законом и не может расцениваться в качестве нарушающего конституционные права Н.В.Гриценко, в деле с участием которой арбитражные суды, отказывая во включении ее требований в реестр требований кредиторов, исходили из того, что вступившим в законную силу решением суда общей юрисдикции заявленный размер ущерба признан необоснованным, в возмещении расходов по оплате юридических услуг отказано в связи с отсутствием относимых и допустимых доказательств их несения. Доводы, приведенные в жалобе, свидетельствуют о том, что, формально оспаривая конституционность указанной нормы, фактически Н.В.Гриценко выражает несогласие с основанным на исследованных фактических обстоятельствах выводом судов о составе и размере понесенных заявительницей убытков. Между тем проверка правильности установления судами фактических обстоятельств конкретного дела не относится к компетенции Конституционного Суда Российской Федерации, закрепленной 3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требования о проверке конституционности оспариваемого законоположения в связи с его применением в деле, рассмотренном судами общей юрисдикции, то в этой части жалоба не отвечает критерию допустимости, поскольку подана с нарушением годичного срока, установленного пунктом 2 статьи 97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Гриценко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