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Агеевой Натальи Владимировны на нарушение ее конституционных прав рядом положений Гражданского кодекса Российской Федерации и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Н.В.Агеевой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Н.В.Агеева, являющаяся индивидуальным предпринимателем, оспаривает конституционность пункта 1 статьи 1102 «Обязанность возвратить неосновательное обогащение», пункта 2 статьи 1105 «Возмещение стоимости неосновательного обогащения» и пункта 2 статьи 1107 «Возмещение потерпевшему неполученных доходов» ГК Российской Федерации, а также статей 3914 «Порядок предоставления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торгов», 3915 «Предварительное согласование предоставления земельного участка», пункта 2 1 статьи 3920 «Особенности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сооружение» и пункта 1 статьи 65 «Платность использования земли» Земельного кодекса Российской Федерации. Как следует из представленных материалов, с заявительницы по иску органа местного самоуправления взыскана задолженность за фактическое пользование земельным участком и проценты за пользование чужими денежными средствами. По мнению Н.В.Агеевой, оспариваемые нормы противоречат статьям 19, 45 (часть 1), 46 (часть 1), 55 и 132 (часть 3) Конституции Российской Федерации, поскольку допускают возложение на землепользователя обязанности по внесению платы за пользование земельным участком, а также взыскание с этого лица процентов за пользование чужими денежными средствами за период, когда возможность приобретения им данного участка в собственность была заблокирована вследствие незаконных действий органа местного самоуправления, установленных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нормы, направленные на защиту имущественных прав участников гражданского оборота, сами по себе не могут рассматриваться в качестве нарушающих конституционные права Н.В.Агеевой, в деле с участием которой суд апелляционной инстанции, определив период вынужденного пользования заявительницей земельным участком, снизил размер задолженности (с чем согласились суды кассационной инстанции). Доводы, приведенные Н.В.Агеевой в обоснование своей позиции, свидетельствуют о том, что нарушение своих конституционных прав она связывает не с содержанием оспариваемых положений, а с неправильным, по мнению заявительницы, их применением судом в деле с ее участием. Между тем разрешение указанного вопроса, как непосредственно связанного с проверкой правильности выбора правовых норм и их 3 применения судами, в том числе с учетом фактических обстоятельств конкретного дела,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Агеевой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