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Фасхутдиновой Люции Харбилевны на нарушение ее конституционных прав частью первой статьи 50 и частью третьей статьи 248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Л.Х.Фасхутдиновой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Л.Х.Фасхутдинова просит признать часть первую статьи 50 «Приглашение, назначение и замена защитника, оплата его труда» и часть третью статьи 248 «Участие защитника» УПК Российской Федерации не соответствующими статьям 48 и 123 (часть 3) Конституции Российской Федерации. Как утверждает заявительница, оспариваемые нормы лишают защитника возможности осуществлять эффективную защищу прав обвиняемых (осужденных), что лишает последних права на 2 квалифицированную юридическую помощь и нарушает принцип состязательности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125 (пункт «а» части 4) Конституции Российской Федерации во взаимосвязи с конкретизирующими ее положениями пункта 3 части первой статьи 3 и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Фасхутдиновой Люции Харбилевны,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