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«Симметрия» на нарушение его конституционных прав частями 1 и 2 статьи 30.3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«Симметрия»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«Симметрия» (далее также – ООО «Симметрия») оспаривает конституционность частей 1 и 2 статьи 30.3 «Срок обжалования постановления по делу об административном правонарушении» КоАП Российской Федерации. Как следует из представленных материалов, определением суда общей юрисдикции, оставленным без изменения вышестоящими судами, отказано в удовлетворении ходатайства ООО «Симметрия» о восстановлении срока обжалования постановления должностного лица по делу об административном правонарушении. Суды указали, что приведенные заявителем причины пропуска срока на подачу жалобы не являются уважительными. 2 Заявитель просит признать оспариваемые законоположения не соответствующими статьям 19 (часть 1), 46 (части 1 и 2) и 49 (части 1 и 3) Конституции Российской Федерации, поскольку они препятствуют обжаловать незаконное, по его мнению, постановление о привлечении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«Симметрия»,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