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Кузнецовой Любови Ивановны на нарушение ее конституционных прав пунктом 1 статьи 246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Л.И.Кузнецовой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Л.И.Кузнецова оспаривает конституционность пункта 1 статьи 246 «Распоряжение имуществом, находящимся в долевой собственности» ГК Российской Федерации (в жалобе ошибочно названного Жилищным кодексом Российской Федерации), согласно которому распоряжение имуществом, находящимся в долевой собственности, осуществляется по соглашению всех ее участников. Как следует из представленных материалов, решением суда общей юрисдикции, с которым согласились суды вышестоящих инстанций, произведенная заявительницей реконструкция многоквартирного дома, в 2 котором расположено принадлежащее ей жилое помещение, признана самовольной, на нее возложена обязанность привести дом в прежнее состояние. По мнению заявительницы, оспариваемая норма противоречит Конституции Российской Федерации, в том числе ее статьям 19, 40, 46 (части 1 и 2), 751 и 123, в той мере, в какой в системе действующего правового регулирования она, позволяя лишать граждан единственного жилого помещения, не обеспечивает им надлежащих гарантий защиты жилищных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Кузнецовой Любови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