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Шувалова Андрея Юрьевича на нарушение его конституционных прав рядом положений Гражданского процессуального кодекса Российской Федерации и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А.Ю.Шувалова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А.Ю.Шувалов оспаривает конституционность статей 8 «Передача объекта долевого строительства» и 12 «Исполнение обязательств по договору»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статей 55 «Доказательства», 71 «Письменные доказательства», 87 «Дополнительная и повторная экспертизы», 3796 «Пределы рассмотрения дела кассационным судом общей юрисдикции», 3797 «Основания для отмены или изменения судебных постановлений кассационным судом общей юрисдикции» и 3901 «Определение 2 кассационного суда общей юрисдикции» ГПК Российской Федерации, поскольку их буквальное толкование и сложившаяся правоприменительная практика нарушают его конституционные права, гарантированные статьями 19, 46, 47, 118, 120 и 123 Конституции Российской Федерации. Кроме того, заявитель ходатайствует о восстановлении пропущенного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Шувалова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