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Качуриной Тамары Никандровны на нарушение ее конституционных прав пунктом 3 статьи 182 Гражданского кодекса Российской Федерации, частями 25 и 30 статьи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Т.Н.Качуриной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Т.Н.Качурина оспаривает конституционность пункта 3 статьи 182 «Представительство» ГК Российской Федерации и частей 25 и 30 статьи 17 «Компетенция общего собрания членов товарищества»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2 Из представленных материалов следует, что решением суда общей юрисдикции, с которым согласились суды вышестоящих инстанций, заявительнице наряду с другими гражданами отказано в признании недействительным решения общего собрания садоводческого некоммерческого товарищества (далее также – СНТ, товарищество). Суды, в частности, исходили из того, что нарушения порядка созыва, подготовки и проведения общего собрания отсутствовали, кворум соблюден. По мнению Т.Н.Качуриной, пункт 3 статьи 182 ГК Российской Федерации не исключает разрешения на его основании вопроса о наличии (отсутствии) кворума, необходимого для признания общего собрания членов СНТ правомочным; часть 25 статьи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не предполагает возможности председательствующего на общем собрании членов товарищества отказаться от подписания протокола общего собрания по причине того, что тот неверно отражает результаты голосования; часть 30 статьи 17 того же Федерального закона позволяет признать надлежащим доведение информации о принятых общим собранием членов товарищества решениях способом, при котором к этой информации не обеспечивается круглосуточного доступа. В связи с этим заявительница полагает, что данные нормы противоречат статьям 15 (часть 1), 17 (часть 3), 18, 19 (части 1 и 2), 35 (часть 1), 45 (часть 1), 46 (часть 1) и 55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Т.Н.Качуриной в жалобе (в частности, о том, что суды не приняли во внимание заявленные истцами доводы, неверно установили фактические обстоятельства дела), свидетельствуют о том, что конституционность названных норм заявительница оспаривает лишь 3 формально и, по сути,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Качуриной Тамары Никандровны,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