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«Группа компаний «Вираж» на нарушение его конституционных прав пунктом 1 статьи 204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«Группа компаний «Вираж»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«Группа компаний «Вираж» (далее также – ООО «Группа компаний «Вираж») оспаривает конституционность пункта 1 статьи 204 ГК Российской Федерации, согласно которому срок исковой давности не течет со дня обращения в суд в установленном порядке за защитой нарушенного права на протяжении всего времени, пока осуществляется судебная защита нарушенного права. Из представленных материалов следует, что решением арбитражного суда, с которым согласились суды вышестоящих инстанций, отказано в удовлетворении иска ООО «Группа компаний «Вираж» о взыскании убытков 2 в форме упущенной выгоды по причине пропуска срока исковой давности. При этом судами был отклонен довод истца о том, что срок исковой давности им не пропущен в связи с осуществлением судебной защиты своего права путем предъявления исков об ином предмете, рассмотренных ранее. По мнению заявителя, оспариваемая норма не соответствует статьям 15 (часть 1), 19 (часть 1), 45 и 46 (части 1 и 2) Конституции Российской Федерации в той мере, в какой она по смыслу, придаваемому ей правоприменительной практикой, не допускает возможности приостановления течения срока исковой давности ввиду обращения в суд с иском, не повлекшим для истца желаемого результата, в ситуации необходимости последовательного предъявления им исков различной правовой природы с целью защиты нарушенного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204 ГК Российской Федерации, закрепляющий общее правило об исчислении срока исковой давности по требованию в защиту нарушенного права без учета периода, в котором осуществляется судебная защита того же права, служит гарантией защиты нарушенных прав участников гражданских правоотношений и не может рассматриваться как нарушающий конституционные права заявителя, в деле с участием которого арбитражный суд кассационной инстанции пришел к выводу о том, что у ООО «Группа компаний «Вираж» имелась реальная возможность защиты своего права в судебном порядке путем предъявления требования о взыскании упущенной выгоды в пределах срока исковой давности. Проверка же правильности исчисления срока исковой давности в конкретном деле, включая определение того, повлияли ли конкретные обстоятельства на течение этого срока,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«Группа компаний «Вираж»,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