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Мифтахова Динара Лайсановича на нарушение его конституционных прав пунктом 9 части первой статьи 38920 и пунктом 1 части первой статьи 38926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Д.Л.Мифтахова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Д.Л.Мифтахов, осужденный приговором суда, постановленным на основании вердикта коллегии присяжных заседателей, помимо прочего признан виновным в бандитизме по части второй статьи 209 УК Российской Федерации в редакции Федерального закона от 27 декабря 2009 года № 377-ФЗ. Суд апелляционной инстанции изменил приговор, применив данную статью в редакции Федерального закона от 13 июня 1996 года № 63-ФЗ, действовавшей на момент окончания участия заявителя в банде, отметив, что этот момент установлен вердиктом коллегии присяжных. В этой связи Д.Л.Мифтахов, полагая, что суд апелляционной инстанции вопреки вердикту коллегии присяжных изменил приговор в части 2 применения нормы уголовного закона в более ранней редакции, просит признать пункт 9 части первой статьи 38920 «Решения, принимаемые судом апелляционной инстанции» и пункт 1 части первой статьи 38926 «Изменение приговора и иного судебного решения» УПК Российской Федерации не соответствующими статье 47 Конституции Российской Федерации в той мере, в какой они, по мнению заявителя, допускают подмену вердикта присяжных заседателей выводами суда апелляционной инстанции, нарушая право подсудимого на рассмотрение его дела судом с участием присяжных.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Д.Л.Мифтаховым положения Уголовно- процессуального кодекса Российской Федерации, наделяющие суд апелляционной инстанции правом в результате рассмотрения уголовного дела в апелляционном порядке изменить приговор и смягчить осужденному наказание или применить в отношении него уголовный закон о менее тяжком преступлении, направлены на защиту прав осужденного, не предусматривают разрешение апелляционным судом вопросов, относящихся к компетенции присяжных заседателей, и не могут расцениваться как нарушающие права Д.Л.Мифтахова в обозначенном им аспекте. Из судебных решений также не следует, что суд апелляционной инстанции, изменяя приговор в части применения уголовного закона в редакции, улучшающей положение осужденного, вторгался в вопросы, разрешать которые уполномочены присяжные (пункты 1, 2 и 4 части первой статьи 299 и часть первая статьи 334 того же Кодекса), и ставил под сомнение сделанные ими выводы.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Мифтахова Динара Лайсановича,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