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1966-О/2025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Гордиенко Олега Владимировича на нарушение его конституционных прав частью первой статьи 98 Гражданского процессуального кодекса Российской Федерации, а также абзацем вторым подпункта 1 пункта 1 статьи 33319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О.В.Гордиенко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О.В.Гордиенко – ответчик по гражданскому делу, с которого взысканы судебные расходы истца на уплату государственной пошлины, – оспаривает конституционность части первой статьи 98 «Распределение судебных расходов между сторонами» ГПК Российской Федерации, а также абзаца второго подпункта 1 пункта 1 статьи 33319 «Размеры государственной пошлины по делам, рассматриваемым Верховным Судом Российской Федерации, судами общей юрисдикции, мировыми судьями» Налогового кодекса Российской Федерации, примененного в 2 конкретном деле заявителя в редакции, действовавшей до вступления в силу Федерального закона от 8 августа 2024 года № 259-ФЗ. По мнению заявителя, оспариваемые положения не соответствуют статьям 2, 18, 19, 35 и 46 Конституции Российской Федерации, поскольку по смыслу, придаваемому им правоприменительной практикой, допускают неприменение правила о пропорциональном распределении судебных расходов к судебным расходам по уплате государственной пошлины в случае, если она уплачена истцом в минимальном размере.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целях создания механизма эффективного восстановления нарушенных прав и с учетом принципа максимальной защиты имущественных интересов заявляющего обоснованные требования лица, права и свободы которого нарушены, часть первая статьи 98 ГПК Российской Федерации предусматривает порядок распределения между сторонами судебных расходов. Данная норма выступает процессуальной гарантией права на судебную защиту (статья 46, часть 1, Конституции Российской Федерации) и не может сама по себе рассматриваться как нарушающая конституционные права О.В.Гордиенко. Абзац второй подпункта 1 пункта 1 статьи 33319 Налогового кодекса Российской Федерации в упомянутой редакции устанавливал правила определения размера государственной пошлины по делам, рассматриваемым в судах общей юрисдикции, мировыми судьями, при подаче искового заявления имущественного характера, подлежащего оценке, при цене иска до 20 000 рублей, принят в развитие предписания статьи 57 Конституции Российской Федерации об обязанности каждого платить законно установленные сборы и также не может расцениваться как нарушающий конституционные права заявителя. Проверка же правильности распределения судебных расходов в конкретном деле заявителя не входит в полномочия Конституционного Суда 3 Российской Федерации, как они определены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Гордиенко Олега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