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Чередниченко Александра Михайловича на нарушение его конституционных прав частью 2 статьи 332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А.М.Чередниченко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А.М.Чередниченко оспаривает конституционность части 2 статьи 332 «Пересмотр судебных постановлений в порядке надзора» КАС Российской Федерации. Как следует из представленных материалов, заявитель подал в Верховный Суд Российской Федерации в электронном виде кассационную жалобу и иные прилагаемые к ней документы, которые были отклонены, поскольку приложенные к жалобе судебные акты или их образы не подписаны (не заверены) усиленной квалифицированной электронной подписью судьи, председателя суда (заместителя председателя суда), 2 уполномоченного работника аппарата суда; к жалобе не приложен указанный в ней документ. По мнению заявителя, часть 2 статьи 332 КАС Российской Федерации не соответствует статьям 15 (часть 4), 19 и 46 Конституции Российской Федерации, поскольку не позволяет гражданам, находящимся за пределами Российской Федерации, подать жалобу в Верховный Суд Российской Федерации и материалы к ней без электронной подписи.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жалобы к рассмотрению. Согласно статье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Чередниченко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