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Новоселовой Эльмиры Алиевны на нарушение ее конституционных прав статьями 1124, 1125 и 1129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Э.А.Новоселовой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Э.А.Новоселова оспаривает конституционность статей 1124 «Общие правила, касающиеся формы и порядка совершения завещания», 1125 «Нотариально удостоверенное завещание» и 1129 «Завещание в чрезвычайных обстоятельствах» ГК Российской Федерации. Как следует из представленных материалов, решением суда общей юрисдикции, с которым согласились вышестоящие суды, удовлетворен иск гражданина Н. к ряду граждан, в том числе к Э.А.Новоселовой, о признании права собственности в порядке наследования по закону и о разделе наследственного имущества; в удовлетворении встречного иска 2 Э.А.Новоселовой о признании права наследования по завещанию, совершенному в чрезвычайных обстоятельствах, отказано. По мнению Э.А.Новоселовой, оспариваемые нормы противоречат статье 35 (части 2 и 4) Конституции Российской Федерации, поскольку предписывают совершение завещания только в письменной форме, исключая фиксацию воли завещателя с применением современных технологий, а также не предусматривают возможности совершения завещания путем его составления рукоприкладчиком в чрезвычайных обстоятельствах в отсутствие нотариуса.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Новоселовой Эльмиры Алиевны,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