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995-О/2025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Селиверстова Владимира Владимировича на нарушение его конституционных прав статьями 131, 132 и частью третьей статьи 263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по требованию гражданина В.В.Селиверстова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В.В.Селиверстов оспаривает конституционность статей 131 «Форма и содержание искового заявления», 132 «Документы, прилагаемые к исковому заявлению» и части третьей статьи 263 «Порядок рассмотрения и разрешения дел, рассматриваемых судом в порядке особого производства» ГПК Российской Федерации. Как следует из представленных материалов, суд общей юрисдикции, рассматривая заявление В.В.Селиверстова об установлении факта неисполнения территориальным органом Росреестра приказа Минэкономразвития России от 9 декабря 2014 года № 789 «Об утверждении 2 Административного регламента Федеральной службы государственной регистрации, кадастра и картографии по предоставлению государственной услуги по государственной регистрации прав на недвижимое имущество и сделок с ним», усмотрел наличие спора о праве, в связи с чем оставил заявление без рассмотрения, разъяснив В.В.Селиверстову его право разрешить спор в порядке искового производства, с чем согласились суды вышестоящих инстанций. Определением судьи Верховного Суда Российской Федерации, с которым согласился заместитель Председателя этого суда,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В.В.Селиверстова, оспариваемые законоположения противоречат Конституции Российской Федерации, поскольку допускают возможность их неоднозначной трактовки судами. Кроме того, заявитель ставит вопрос, касающийся признания того, что в принятых в отношении него судебных постановлениях указанные им нормы были применены ненадлежащим образом.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Одной из особенностей дел, рассматриваемых судом в порядке особого производства, является отсутствие спора о праве. В случае, если при подаче заявления или рассмотрении дела в порядке особого производства устанавливается наличие такого спора,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(часть третья статьи 263 ГПК Российской Федерации). Приведенная норма, а равно статьи 131 и 132 указанного Кодекса, закрепляющие требования к исковому заявлению, не предполагают возможности произвольного оставления судом заявления без рассмотрения и 3 не содержат указанной заявителем неопределенности, а потому не могут расцениваться в качестве нарушающих его конституционные права. Оценка же правильности правовой квалификации судом поданного В.В.Селиверстовым заявления, на что фактически направлены доводы его жалобы, как и разрешение другого поставленного им в жалобе вопроса, к компетенции Конституционного Суда Российской Федерации, как она закреплена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Селиверстова Владимира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