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1698-О/2025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«СМУ «Материалстройсервис» на нарушение его конституционных прав частью первой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«СМУ «Материалстройсервис»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«СМУ «Материалстройсервис» (далее также – ООО «СМУ «Материалстройсервис») оспаривает конституционность части первой ГК Российской Федерации, в том числе ее статей 129 «Оборотоспособность объектов гражданских прав», 235 «Основания прекращения права собственности», 289 «Квартира как объект права собственности» и 290 «Общее имущество в многоквартирном доме». Из представленных материалов следует, что решением арбитражного суда, с которым согласились суды вышестоящих инстанций, за собственниками помещений в многоквартирном доме признано право общей долевой собственности на расположенное в этом многоквартирном доме 2 нежилое помещение (подвал), право собственности на которое было зарегистрировано за заявителем. Суды при этом исходили из того, что спорное помещение, в котором размещены инженерные коммуникации, кабели электроснабжения, а также лифтовая шахта с дверным проемом, проходящая через все этажи жилого дома, предназначено для технического обслуживания внутридомовых инженерных систем в этом многоквартирном жилом доме. По мнению ООО «СМУ «Материалстройсервис», часть первая ГК Российской Федерации, в том числе ее статьи 129, 235, 289 и 290, противоречит Конституции Российской Федерации, ее статье 35, в той мере, в какой в ней отсутствуют нормы о запрете на отчуждение нежилых помещений в многоквартирном доме, обладающих признаками общего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«СМУ «Материалстройсервис»,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