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Васильевой Ларисы Михайловны, Викторовой Елены Леонидовны и других на нарушение их конституционных прав пунктом 45 статьи 2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 Л.М.Васильевой, Е.Л.Викторовой и других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Л.М.Васильева, Е.Л.Викторова, Т.П.Григорьева, Ф.П.Егорова, Н.Г.Еремеева, Л.Н.Ефимова, Р.Я.Мудрецова, О.А.Никонова, Т.И.Романова, Т.Н.Соколова и Е.В.Трясугина оспаривают конституционность пункта 45 статьи 2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которым пункт 1 статьи 33319 «Размеры государственной пошлины по делам, рассматриваемым 2 Верховным Судом Российской Федерации, судами общей юрисдикции, мировыми судьями» Налогового кодекса Российской Федерации изложен в новой редакции. По мнению заявителей, оспариваемое законоположение не соответствует статье 46 Конституции Российской Федерации, поскольку предусматривает существенное увеличение размера государственной пошлины, ограничивая тем самым доступ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Васильевой Ларисы Михайловны, Викторовой Елены Леонидовны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