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Караказян Натальи Вартановны на нарушение ее конституционных прав статьями 40110 и 40115 Уголовно-процессуального кодекса Российской Федерации, а также статьей 136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Н.В.Караказян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Третьего кассационного суда общей юрисдикции от 27 мая 2025 года отказано в передаче для рассмотрения в судебном заседании суда кассационной инстанции жалобы гражданки Н.В.Караказян об оспаривании вынесенного по ее обращению в порядке статьи 125 УПК Российской Федерации судебного решения. Н.В.Караказян просит признать не соответствующими Конституции Российской Федерации статьи 40110 «Действия суда кассационной инстанции при поступлении кассационных жалобы, представления» и 40115 «Основания отмены или изменения судебного решения при рассмотрении уголовного дела в 2 кассационном порядке» УПК Российской Федерации, как позволяющие суду кассационной инстанции оставлять в силе незаконное судебное решение. Кроме того, она указывает на неконституционность статьи 136 «Нарушение равенства прав и свобод человека и гражданина» УК Российской Федерации, как допускающей дискриминацию при обращении в правоохранительные органы с заявлением о преступлении.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Караказян Натальи Вартановны,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