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Крикуна Владимира Григорьевича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В.Г.Крикуна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В.Г.Крикун оспаривает конституционность статей 5 «Осуществление правосудия только судами», 134 «Отказ в принятии искового заявления» и 135 «Возвращение искового заявления» ГПК Российской Федерации. Кроме того, заявитель выражает несогласие с результатом предварительного рассмотрения его предыдущего обращения Секретариатом Конституционного Суда Российской Федерации, действиями его сотрудника и содержанием подготовленного и направленного ему уведомления.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Крикуна Владимира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