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Дьяконова Дмитрия Алексеевича и Рамазанова Гамблата Садиковича на нарушение их конституционных прав статьей 619 Гражданского кодекса Российской Федерации и статьей 42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Д.А.Дьяконова и Г.С.Рамазанова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Д.А.Дьяконов и Г.С.Рамазанов оспаривают конституционность статьи 619 «Досрочное расторжение договора по требованию арендодателя» ГК Российской Федерации и статьи 42 «Обязанности собственников земельных участков и лиц, не являющихся собственниками земельных участков, по использованию земельных участков» Земельного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заявителям отказано в удовлетворении искового требования о расторжении 2 договора аренды земельного участка, из состава которого были выделены земельные участки, находящиеся в их долевой собственности. Суды исходили из отсутствия доказательств, подтверждающих нарушение арендатором существенных условий данного договора. По мнению заявителей, оспариваемые законоположения противоречат Конституции Российской Федерации, ее статье 35 (части 1 и 2), поскольку они нарушают права собственников владеть, пользоваться и распоряжаться своим имуществом. В жалобе также содержится просьба к Конституционному Суду Российской Федерации высказать позицию по вопросам, не связанным с проверкой конституционности какой-либо правовой нормы.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Дьяконова Дмитрия Алексеевича и Рамазанова Гамблата Садиковича,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