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3435-О/2024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«Капстрой» на нарушение его конституционных прав пунктами 1 и 2 статьи 469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«Капстрой»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«Капстрой» (далее также – АО «Капстрой») оспаривает конституционность пунктов 1 и 2 статьи 469 «Качество товара» ГК Российской Федерации. Как следует из представленных материалов, решением арбитражного суда, с которым согласились суды вышестоящих инстанций, отказано в иске АО «Капстрой» к продавцу о соразмерном уменьшении покупной цены товара в связи с нарушениями требований к качеству товара. В обоснование иска было среди прочего указано, что в нарушение условий договора истцу передан не новый, а находившийся ранее в эксплуатации товар (самосвал). 2 По мнению заявителя, оспариваемые положения противоречат статьям 8 (часть 2), 34 (часть 1) и 35 (часть 1) Конституции Российской Федерации в той мере, в какой они в силу неопределенности нормативного содержания, порождающей их неоднозначное истолкование и произвольное применение, позволяют не учитывать требования к качеству товара, установленные в договоре, отдавая приоритет требованию соответствия товара целям, для которых он обычно используется (пункт 2 статьи 469 ГК Российской Федерации), а не согласованным в договоре условиям (пункт 1 статьи 469 ГК Российской Федерации).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статьи 469 ГК Российской Федерации, закрепляющие требования к качеству товара, обеспечивают восстановление прав покупателей, нарушенных вследствие продажи товара ненадлежащего качества, и не могут рассматриваться в обозначенном в жалобе аспекте как нарушающие конституционные права заявителя, в деле с участием которого суды установили, что грузовое транспортное средство, являющееся предметом договора, будучи импортированным на территорию Российской Федерации, перегонялось к месту реализации, в собственности третьих лиц не находилось, и указали, что истец не был лишен возможности до заключения договора получить информацию о порядке доставки этого транспортного средства и не доказал факта эксплуатации данного средства иными лицами. Доводы, приведенные АО «Капстрой» в жалобе, свидетельствуют о том, что нарушение конституционных прав оно связывает не с содержанием оспариваемых норм, а с тем, правильно ли они применены судами с учетом фактических обстоятельств конкретного дела. Установление же и исследование фактических обстоятельств конкретного дела, оценка доказательств, послуживших основанием для применения тех или иных норм права, к компетенции Конституционного 3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«Капстрой»,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