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Людмилы Валентиновны на нарушение ее конституционных прав частью третьей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Л.В.Кузнецовой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Л.В.Кузнецова оспаривает конституционность части третьей статьи 61 ГПК Российской Федерации, согласно которой при рассмотрении гражданского дела обстоятельства, установленные вступившим в законную силу решением арбитражного суда, не должны доказываться и не могут оспариваться лицами, если они участвовали в деле, которое было разрешено арбитражным судом. Как следует из представленных материалов, суд общей юрисдикции, в том числе сославшись на ранее принятое этим же судом решение, отказал в удовлетворении исковых требований Л.В.Кузнецовой, с чем согласились суды вышестоящих инстанций. 2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этого суда. По мнению Л.В.Кузнецовой, оспариваемое законоположение противоречит Конституции Российской Федерации, ее статьям 17 (часть 3), 18, 19 (часть 1), 40 (части 1 и 3), 46 (часть 1) и 123 (часть 3), а также статье 6 Федерального конституционного закона от 31 декабря 1996 года № 1-ФКЗ «О судебной системе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Людмилы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