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М.Н. на нарушение ее конституционных прав пунктом 1 статьи 28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 оспаривает конституционность пункта 1 статьи 28 Семейного кодекса Российской Федерации о лицах, которые вправе требовать признания брака недействительным. Из представленных материалов следует, что определением суда общей юрисдикции, оставленным без изменения определением суда апелляционной инстанции, отказано в принятии искового заявления М.Н. о признании брака между ее умершим братом и гражданкой М. недействительным как фиктивного. Суды исходили из того, что заявительница не вправе требовать признания брака, стороной которого не является, недействительным по этому основанию. В передаче кассационной жалобы на названные определения и 2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17 и 19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позволяет требовать признания брака недействительным лишь супругу или прокурору, но не иному заинтересованному лицу.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категориям дел определяются, исходя из Конституции Российской Федерации, федеральными законами (определения от 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М.Н.,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