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Александрова Ростислава Владимировича на нарушение его конституционных прав частью 4 статьи 29.6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Р.В.Александрова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Р.В.Александров оспаривает конституционность части 4 статьи 29.6 КоАП Российской Федерации, согласно которой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 2 Как следует из представленных материалов, постановлением судьи районного суда Р.В.Александров привлечен к административной ответственности за мелкое хулиганство (часть 1 статьи 20.1 КоАП Российской Федерации). Жалоба заявителя на указанное постановление была возвращена без рассмотрения судьей Верховного Суда Российской Федерации, поскольку к ней не были приложены копии судебных актов, подтверждающих обжалование данного постановления в судах нижестоящих инстанций. По мнению заявителя, оспариваемое законоположение не соответствует ряду статей Конституции Российской Федерации, поскольку позволяет подвергать административному задержанию на срок свыше 48 часов граждан, имеющих угрожающее жизни заболевание, без обеспечения их лекарственными средствами.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3 Между тем представленные заявителем вместе с жалобой материалы не свидетельствуют об исчерпании им внутригосударственных средств судебной защиты при разрешении дела с его участием.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Александрова Ростислава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