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1070-О/2025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Тихомировой Валентины Владимировны на нарушение ее конституционных прав частью первой статьи 39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В.В.Тихомировой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В.В.Тихомирова оспаривает конституционность части первой статьи 39 ГПК Российской Федерации, согласно которой 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 Как следует из представленных материалов, решением суда общей юрисдикции, оставленным без изменения судами вышестоящих инстанций, удовлетворены исковые требования гражданки Б. к В.В.Тихомировой о признании договора пожизненного содержания с иждивением 2 недействительным, применении последствий недействительности ничтожной сделки и признании права собственности на квартиру. По мнению заявительницы, оспариваемая норма противоречит статьям 1 (часть 1), 2, 15 (часть 2), 45 (часть 1), 46 (части 1 и 2), 52, 53, 120 (часть 1) и 123 (часть 3) Конституции Российской Федерации, а также пункту 1 статьи 14 Международного пакта о гражданских и политических правах, поскольку позволяет суду по своей инициативе изменить предмет и (или) основание исковых требований.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39 ГПК Российской Федерации, развивающая принцип диспозитивности, который, в частности, означает, что процессуальные отношения в гражданском судопроизводстве возникают, изменяются и прекращаются главным образом по инициативе непосредственных участников спорного материального правоотношения, имеющих возможность с помощью суда распоряжаться своими процессуальными правами, способствует реализации права на судебную защиту, не предполагает наличия у суда полномочия по собственной инициативе изменить предмет и (или) основание иска, а потому не может расцениваться в качестве нарушающей конституционные права заявительницы, перечисленные в жалобе. Как усматривается из содержания жалобы, требование В.В.Тихомировой, а также приведенные в обоснование ее позиции доводы свидетельствуют о том, что нарушение своих конституционных прав она связывает не с содержанием оспариваемой нормы, а с имевшим место, по ее мнению, невыполнением судом в конкретном деле содержащихся в этой норме предписаний, неверным установлением фактических обстоятельств дела и необоснованными выводами суда относительно существа спора. Тем самым фактически заявительница предлагает дать оценку принятому по ее гражданскому делу судебному постановлению, что требует установления 3 фактических обстоятельств и не входит в компетенцию Конституционного Суда Российской Федерации, закрепленную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Тихомировой Валентины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