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Ищенко Антона Юрьевича на нарушение его конституционных прав частью третьей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А.Ю.Ищенко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А.Ю.Ищенко оспаривает конституционность части третьей статьи 3907 «Рассмотрение кассационных жалобы, представления» ГПК Российской Федерации. Как следует из представленных материалов, определением судьи Верховного Суда Российской Федерации, с которым согласился заместитель Председателя этого суда, А.Ю.Ищенко отказано в передаче кассационной жалобы для рассмотрения в судебном заседании суда кассационной инстанции. Заявитель в порядке, установленном оспариваемым законоположением, вновь обратился с кассационной жалобой на имя 2 Председателя Верховного Суда Российской Федерации. Письмом судьи Верховного Суда Российской Федерации А.Ю.Ищенко был уведомлен о том, что его кассационная жалоба уже была рассмотрена в Верховном Суде Российской Федерации в установленном законом порядке. Заявитель простит признать не соответствующей статьям 45 и 46 (части 1 и 2) Конституции Российской Федерации часть третью статьи 3907 ГПК Российской Федерации, поскольку она исключает возможность подачи кассационной жалобы Председателю Верховного Суда Российской Федерации в случае согласия его заместителя с определением судьи данного суда об отказе в передаче кассационной жалобы для рассмотрения в судебном заседании суда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Предусмотренная частью третьей статьи 3907 ГПК Российской Федерации возможность обращения к Председателю Верховного Суда Российской Федерации, его заместителю с просьбой не согласиться с определением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 расширяет процессуальные возможности лиц, участвующих в деле,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защиту. При этом – учитывая, что из названного конституционного права не вытекает возможность выбора гражданами по своему усмотрению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 законом, – оспариваемое законоположение в равной степени наделяет соответствующим 3 полномочием как Председателя Верховного Суда Российской Федерации, так и его заместителя. Таким образом, часть третья статьи 3907 ГПК Российской Федерации, призванная обеспечить реализацию правомочий Верховного Суда Российской Федерации по исправлению возможных судебных ошибок и принятию судом законного и обоснованного решения, не может рассматриваться в качестве нарушающей конституционные права заявителя, чья кассационная жалоба, поданная в установленном названной нормой порядке, была рассмотрена, как следует из представленных материалов, указанным в ней должностным лицом.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Ищенко Антона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