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Берлезова Андрея Александровича на нарушение его конституционных прав статьей 4125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А.А.Берлезова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23 мая 2024 года гражданину А.А.Берлезову, осужденному к пожизненному лишению свободы, отказано в передаче надзорной жалобы для рассмотрения в судебном заседании Президиума Верховного Суда Российской Федерации, с чем согласился заместитель Председателя этого суда (письмо от 19 сентября 2024 года). В этой связи А.А.Берлезов оспаривает соответствие статьи 4125 «Рассмотрение надзорных жалобы, представления» УПК Российской Федерации статьям 46 (часть 1) и 50 (часть 3) Конституции Российской Федерации. Как утверждает заявитель, оспариваемая норма допускает 2 возможность узаконивания неправосудного приговора путем отклонения доводов надзорной жалобы без их надлежащей проверки и без исправления существенных нарушений уголовно-процессуального закона, допущенных судом первой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Берлезова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