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Гореликова Сергея Юрьевича на нарушение его конституционных прав положением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С.Ю.Гореликова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С.Ю.Гореликов оспаривает конституционность положения части первой статьи 134 ГПК Российской Федерации, согласно которому судья отказывает в принятии искового заявления в случае, если в заявлении, поданном от своего имени, оспариваются акты, которые не затрагивают права, свободы или законные интересы заявителя (пункт 1). Из представленных материалов следует, что определением суда общей юрисдикции, с которым согласились суды вышестоящих инстанций, включая судью Верховного Суда Российской Федерации, С.Ю.Гореликову отказано в принятии искового заявления о компенсации морального вреда. Суды исходили из того, что из содержания заявления не усматривается, в чем 2 заключается нарушение либо угроза нарушения прав С.Ю.Гореликова, а также что требования предъявлены в защиту прав и интересов другого лица. По мнению заявителя, оспариваемое законоположение не соответствует статье 671 (часть 2) Конституции Российской Федерации, поскольку оно позволяет суду отказывать в принятии искового заявления о возмещении истцу морального вреда, причиненного клеветой в отношении его супруги.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Гореликова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