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Крючкова Евгения Александровича на нарушение его конституционных прав частью третьей статьи 164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Е.А.Крючкова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Е.А.Крючков, отбывающий уголовное наказание, утверждает, что применением статьи 164 «Общие правила производства следственных действий» УПК Российской Федерации в ходе его задержания по подозрению в совершении преступлений и последующего производства следственных действий были нарушены права, гарантированные ему статьями 2, 4 (часть 2), 15 (часть 3), 17, 18, 21 (часть 2), 22 (часть 2), 24 (часть 2), 29 (часть 4), 41 (части 1 и 3), 45, 46 (части 1 и 2), 48, 49 (часть 2), 50 (часть 2 2), 51 (часть 1), 52, 55 (часть 3), 56 (часть 3)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заявителем часть третья статьи 164 УПК Российской Федерации, согласно которой производство следственного действия в ночное время не допускается, за исключением случаев, не терпящих отлагательства, носит гарантийный характер, направлена на обеспечение прав граждан в сфере уголовного судопроизводства, а потому не может расцениваться в качестве нарушающей права участников процесса (определения Конституционного Суда Российской Федерации от 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Крючкова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