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Шувалова Андрея Юрьевича на нарушение его конституционных прав рядом положений Гражданского процессуального кодекса Российской Федерации и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А.Ю.Шувалова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А.Ю.Шувалов оспаривает конституционность части 6 статьи 8 «Передача объекта долевого строительства»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части первой статьи 55 «Доказательства», статей 71 «Письменные доказательства» и 87 «Дополнительная и повторная экспертизы», части четвертой статьи 198 «Содержание решения суда», пунктов 4, 5 и 7 части второй статьи 329 «Постановление суда апелляционной инстанции», части седьмой статьи 3901 «Определение кассационного суда общей юрисдикции» 2 ГПК Российской Федерации, поскольку их буквальное толкование и сложившаяся правоприменительная практика нарушают его конституционные права, гарантированные статьями 19, 46, 47, 55, 118 и 123 Конституции Российской Федерации. Кроме того, заявитель ходатайствует о восстановлении пропущенного срока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Федерального конституционного закона «О Конституционном Суде Российской Федерации» годичного срока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Шувалова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