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Рудакова Михаила Юрьевича на нарушение его конституционных прав статьями 165, 3892 и 4011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М.Ю.Рудакова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М.Ю.Рудаков утверждает, что применением статей 165 «Судебный порядок получения разрешения на производство следственного действия», 3892 «Судебные решения, подлежащие апелляционному обжалованию» и 4011 «Предмет судебного разбирательства в кассационном порядке» УПК Российской Федерации при обжаловании им судебного постановления о признании законным производства обыска в его жилище были нарушены права, гарантированные статьями 25, 45 и 46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проверяет конституционность законов и иных нормативных актов, примененных в конкретном деле, если на момент подачи гражданином жалобы на нарушение конституционных прав и свобод исчерпаны все другие внутригосударственные средства судебной защиты. Под таким исчерпанием понимается подача в соответствии с законодательством о соответствующем виде судопроизводства гражданином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гражданина (пункт 3 части первой статьи 3, пункт 5 части второй статьи 40 и пункт 3 статьи 97 Федерального конституционного закона «О Конституционном Суде Российской Федерации»). Как следует из представленных материалов, суд апелляционной инстанции, прекращая производство по жалобе М.Ю.Рудакова, и суды кассационной инстанции, возвращая его жалобы, разъяснили, что материалы уголовного дела в отношении него переданы в суд первой инстанции для рассмотрения по существу, а потому доводы о нарушении требований закона при производстве следственного действия и о недопустимости полученных по его результатам доказательств могут быть проверены в ходе судебного разбирательства по уголовному делу, а также при рассмотрении дела судами апелляционной и кассационной инстанций. Таким образом, производство по данному делу не завершено, а потому заявителем явно не исчерпаны все внутригосударственные средства судебной 3 защиты, что не позволяет сделать вывод о соответствии жалобы критерию допустимости, установленному Федеральным конституционным законом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Рудакова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