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455-О/2025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Быкова Алексея Александровича на нарушение его конституционных прав статьей 1062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А.А.Быкова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А.А.Быков, в отношении которого частично удовлетворены исковые требования о возмещении убытков, оспаривает конституционность статьи 1062 «Требования, связанные с организацией игр и пари и участием в них» ГК Российской Федерации. Как следует из представленных материалов, суды установили, что А.А.Быков нарушил условия заключенного с гражданином О. договора управления счетом, превысив размер рискового капитала, в связи с чем причинил последнему убытки, подлежащие взысканию. По мнению А.А.Быкова, оспариваемая норма противоречит Конституции Российской Федерации, ее статьям 8 (часть 1), 19 (часть 1), 34 2 (часть 1) и 46 (часть 1), поскольку в силу ее неточности, неясности и неопределенности применительно к вопросу об ограничении исходя из субъектного состава права на судебную защиту по сделкам, предусматривающим обязанность уплачивать денежные суммы в зависимости от изменения цен на товары, ценные бумаги, курса валюты и пр., она порождает возможность ее неоднозначного толкования и произвольного применения.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Быкова Алексея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