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Шабалиной Ирины Александровны на нарушение ее конституционных прав пунктом «е» части первой статьи 6 Закона Тюменской области «О порядке учета граждан, нуждающихся в улучшении жилищных условий, и предоставления жилых помещений в Тюменской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И.А.Шабалиной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от 26 июля 2017 года, оставленным без изменения определением суда апелляционной инстанции от 23 октября 2017 года, гражданке И.А.Шабалиной отказано в удовлетворении, в частности, требования обязать администрацию муниципального района поставить ее на учет в качестве нуждающейся в жилом помещении, предоставляемом по договору социального найма. Определением суда общей юрисдикции от 19 марта 2024 года, с которым согласились суды 2 апелляционной и кассационной инстанций, в пересмотре указанного решения по вновь открывшимся обстоятельствам отказано. По мнению И.А.Шабалиной, пункт «е» части первой статьи 6 Закона Тюменской области от 7 октября 1999 года № 137 «О порядке учета граждан, нуждающихся в улучшении жилищных условий, и предоставления жилых помещений в Тюменской области» (в редакции Закона Тюменской области от 13 января 2001 года № 248, действовавшей до внесения изменений в том числе в его наименование Законом Тюменской области от 3 июня 2005 года № 384) противоречит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Шабалиной Ирины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