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Газизуллина Рафаила Наилевича на нарушение его конституционных прав пунктами 2 и 3 статьи 453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Р.Н.Газизуллина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Р.Н.Газизуллин оспаривает конституционность пунктов 2 и 3 статьи 453 «Последствия изменения и расторжения договора» ГК Российской Федерации. Определением суда общей юрисдикции, оставленным без изменения судом апелляционной инстанции (по итогам повторного апелляционного производства) и кассационным судом общей юрисдикции, удовлетворено ходатайство юридического лица, к которому Р.Н.Газизуллин предъявил вытекающий из договорных отношений между ними иск о возмещении убытков, о передаче гражданского дела в другой суд по подсудности, 2 оговоренной сторонами в договоре. При этом довод Р.Н.Газизуллина о том, что соответствующий договор к моменту рассмотрения дела расторгнут, отклонен судами со ссылкой на содержащееся в пункте 3 постановления Пленума Высшего Арбитражного Суда Российской Федерации от 6 июня 2014 года № 35 «О последствиях расторжения договора» разъяснение, согласно которому, в частности, условие о подсудности в силу своей природы предполагает его применение и после расторжения договора, если иное не установлено сторонами.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Р.Н.Газизуллина для рассмотрения в судебном заседании суда кассационной инстанции. По мнению заявителя, оспариваемые положения не соответствуют статьям 46 и 47 (часть 1) Конституции Российской Федерации, поскольку позволяют судам общей юрисдикции, руководствуясь разъяснениями Пленума Высшего Арбитражного Суда Российской Федерации, лишать гражданина права на судебную защиту и на рассмотрение его дела в том суде и тем судьей, к подсудности которых оно отнесено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2 и 3 статьи 453 ГК Российской Федерации закрепляют, в частности, что при расторжении договора обязательства сторон прекращаются, если иное не предусмотрено законом, договором или не вытекает из существа обязательства, и что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соглашения. С учетом того, что расторжение договора, по общему правилу, не прекращает гражданских прав и обязанностей, возникших в период его действия, к которым расторгнутый договор продолжает применяться, 3 оспариваемые нормы, допускающие применение при этом и условия о подсудности, не препятствуя сторонам согласовать иные последствия расторжения договора, не могут рассматриваться как нарушающие конституционные права Р.Н.Газизуллина в обозначенном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Газизуллина Рафаила Наилевича,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