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Анисимова Виктора Анатольевича на нарушение его конституционных прав пунктом 1 статьи 363 Гражданского кодекса Российской Федерации, абзацем вторым части первой статьи 446 Гражданского процессуального кодекса Российской Федерации и пунктом 3 статьи 21325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В.А.Анисимова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суда общей юрисдикции по иску лица, приобретшего у банка требование к гражданину В.А.Анисимову, основанное на договоре поручительства, обращено взыскание на долю В.А.Анисимова в общем имуществе супругов (квартиру). Вступившими в законную силу судебными актами арбитражных судов, вынесенными в рамках дела о банкротстве заявителя, ему отказано в удовлетворении заявлений об исключении данной квартиры из конкурсной массы и 2 применении исполнительского иммунитета. Суды исходили из того, что упомянутым решением суда общей юрисдикции на нее уже обращено взыскание, основанием для прекращения принудительной реализации квартиры в рамках исполнительного производства явилось возбуждение дела о банкротстве должника, данное жилое помещение не являлось единственным пригодным для проживания должника и формально стало таковым в результате его последовательных недобросовестных действий. Позднее в рамках того же дела о банкротстве определением арбитражного суда, оставленным судами вышестоящих инстанций без изменения, В.А.Анисимову отказано в удовлетворении требований, связанных с обеспечением ему, а также совместно проживающему с ним сыну (достигшему к моменту рассмотрения спора совершеннолетия) права на приобретение замещающего жилья взамен реализованной квартиры посредством исключения из конкурсной массы (либо резервирования арбитражным управляющим) денежных средств для ее приобретения. Суды пришли к выводам, что с учетом обстоятельств, установленных вступившими в законную силу судебными актами и свидетельствующими о недобросовестности должника, условия для предоставления замещающего жилья, как они сформулированы в Постановлении Конституционного Суда Российской Федерации от 26 апреля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363 ГК Российской Федерации, устанавливая в качестве основания ответственности поручителя неисполнение или ненадлежащее исполнение должником обеспеченного поручительством обязательства, направлен на реализацию принципа надлежащего исполнения гражданско- правовых обязательств, достижение справедливого баланса интересов участников обязательственных правоотношений (определения 4 Конституционного Суда Российской Федерации от 22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Анисимова Виктора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