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«ПРИСНО» на нарушение его конституционных прав пунктом 2.1 статьи 1.1 Закона города Москвы «О налоге на имущество организаций», а также постановлением Правительства Москвы «Об определении перечня объектов недвижимого имущества, в отношении которых налоговая база определяется как их кадастровая стоимость»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«ПРИСНО»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«ПРИСНО» (далее также – ООО «ПРИСНО», Общество) оспаривает конституционность пункта 2.1 статьи 1.1 Закона города Москвы от 5 ноября 2003 года № 64 «О налоге на имущество организаций», согласно которому налоговая база как кадастровая стоимость объектов недвижимого имущества определяется в отношении расположенных в многоквартирных домах нежилых помещений, принадлежащих одному или нескольким собственникам, фактически 2 используемых для размещения офисов, торговых объектов, объектов общественного питания и (или) объектов бытового обслуживания, если общая площадь нежилых помещений в многоквартирном доме превышает 3000 кв. м. Кроме того, заявитель оспаривает конституционность постановления Правительства Москвы от 28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«ПРИСНО»,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