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«Иркутская электросетевая компания» на нарушение его конституционных прав подпунктом «б1» пункта 38 Правил недискриминационного доступа к услугам по передаче электрической энергии и оказания этих услуг, а также абзацами первым и вторым пункта 14 и абзацами четвертым и пятым пункта 60 Основ ценообразования в области регулируемых цен (тарифов) в электроэнергетике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«Иркутская электросетевая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«Иркутская электросетевая компания» (далее также – АО «ИЭСК») оспаривает конституционность подпункта «б1» пункта 38 Правил недискриминационного доступа к услугам по передаче электрической энергии и оказания этих услуг (утверждены Постановлением Правительства Российской Федерации от 27 декабря 2004 года № 861; в редакции, действовавшей до внесения изменений Постановлением Правительства Российской Федерации от 31 августа 2024 2 года № 1195), в соответствии с которым договор между смежными сетевыми организациями должен содержать величину заявленной мощности, определяемую по соглашению сторон. Кроме того, заявитель оспаривает конституционность следующих положений Основ ценообразования в области регулируемых цен (тарифов) в электроэнергетике (утверждены Постановлением Правительства Российской Федерации от 29 декабря 2011 года № 1178): пункта 14, предусматривающего, что расчетный объем производства продукции и (или) оказываемых услуг определяется исходя из прогнозного баланса (абзац первый); формирование прогнозного баланса, а также внесение в него изменений и уточнений осуществляются в соответствии с разделом V данного нормативного правового акта и порядком, определяемым Федеральной антимонопольной службой (абзац второй); пункта 60, согласно которому при формировании прогнозных объемов покупки электрической энергии на оптовом рынке Федеральная антимонопольная служба учитывает данные о фактическом потреблении электрической энергии субъектами оптового рынка в предшествующие периоды и изменения прогноза спроса по территориям субъектов Российской Федерации в периоде регулирования относительно предшествующих периодов (абзац четвертый); Федеральная антимонопольная служба в прогнозном балансе определяет прогнозные величины заявленной мощности потребителей услуг по передаче электрической энергии по сетям, отнесенным к объектам электросетевого хозяйства единой национальной (общероссийской) электрической сети, по информации, представленной организацией по управлению единой национальной (общероссийской) электрической сетью и сформированной с учетом предложений потребителей услуг по передаче электрической энергии по сетям, отнесенным к единой национальной (общероссийской) электрической сети; при этом решения в отношении потребителей, не являющихся территориальными сетевыми организациями, могут приниматься суммарно по субъекту Российской Федерации (абзац пятый). 3 Как следует из представленных материалов, вступившими в законную силу актами арбитражных судов заявителю отказано в удовлетворении заявления о признании незаконным Сводного прогнозного баланса производства и поставок электрической энергии (мощности) в рамках Единой энергетической системы России по субъектам Российской Федерации на 2022 год (далее – Сводный прогнозный баланс) в части установления заявленной мощности. При этом суды пришли к выводу, что Сводный прогнозный баланс был утвержден уполномоченным органом с соблюдением требований действующего нормативно-правового регулирования и является обоснованным. По мнению АО «ИЭСК», оспариваемые нормативные положения противоречат статьям 8 (часть 1), 19 (части 1 и 2), 34 (часть 1), 45 (часть 1), 46 (части 1 и 2), 55 (часть 3), 56 (часть 3) и 751 Конституции Российской Федерации, поскольку по смыслу, придаваемому им правоприменительной практикой, они позволили исключить его как потребителя соответствующих услуг из процесса определения заявленной мощности в Сводном прогнозном балансе, а также ограничивают его право на оспаривание экономической обоснованности такой заявленной мощности.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содействия развитию конкуренции на рынке производства и сбыта электрической энергии, защиты прав потребителей электрической энергии, обеспечения недискриминационного доступа к услугам по передаче электрической энергии и оперативно-диспетчерскому управлению в электроэнергетике Правительство Российской Федерации, действуя в пределах своих полномочий, утвердило в том числе Правила недискриминационного доступа к услугам по передаче электрической энергии и оказания этих услуг и Основы ценообразования в области регулируемых цен (тарифов) в электроэнергетике. 4 Оспариваемые положения указанных нормативных правовых актов, в частности, непосредственно предусматривают необходимость достижения соглашения между смежными сетевыми организациями по вопросу величины заявленной мощности, формирование прогнозного баланса в соответствии с порядком, определяемым Федеральной антимонопольной службой, и с учетом предложений потребителей услуг по передаче электрической энергии. Таким образом, оспариваемые нормативные положения в силу их буквального содержания предполагают включение потребителя услуг по передаче электрической энергии в процесс определения величины заявленной мощности, не подразумевают их произвольного применения и не могут рассматриваться как нарушающие конституционные права заявителя в указанном в жалобе аспекте. Проверка же обоснованности правоприменительных решений, в том числе в части оценки обоснованности установления заявленной мощности с учетом предложений и потребностей потребителя,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«Иркутская электросетевая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