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Абашиной Екатерины Геннадьевны, Абдуллиной Елены Юрьевны и других на нарушение их конституционных прав рядом положений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Е.Г.Абашиной, Е.Ю.Абдуллиной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Е.Г.Абашина, Е.Ю.Абдуллина и другие (всего 125 заявителей) оспаривают конституционность пункта 2 статьи 10 и пунктов 1 и 3 статьи 3936-1 Земельного кодекса Российской Федерации, части 1 статьи 208 КАС Российской Федерации, части 3 статьи 3 Федерального закона от 21 декабря 2021 года № 414-ФЗ «Об общих принципах организации публичной власти в субъектах Российской Федерации», пункта 2 статьи 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(утратил силу с 1 января 2023 года), статьи 5 и части 6 статьи 18 Федерального закона от 5 2 апреля 2021 года № 79-ФЗ «О внесении изменений в отдельные законодательные акты Российской Федерации». В жалобе также оспаривается конституционность пункта 3.2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(приложение 1 к постановленю Правительства Москвы от 2 ноября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Абашиной Екатерины Геннадьевны, Абдуллиной Елены Юрьевны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