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3216-О/2024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«МонтажСпецСтрой» на нарушение его конституционных прав статьями 15 и 3751 Гражданского кодекса Российской Федерации, частью 23 статьи 95 Федерального закона «О контрактной системе в сфере закупок товаров, работ, услуг для обеспечения государственных и муниципальных нужд», а также пунктом 11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«МонтажСпецСтрой»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«МонтажСпецСтрой» (далее также – ООО «МонтажСпецСтрой») оспаривает конституционность следующих положений: 2 статьи 15 «Возмещение убытков» и статьи 3751 ГК Российской Федерации, согласно которой бенефициар обязан возместить гаранту или принципалу убытки, которые причинены вследствие того, что представленные им документы являлись недостоверными либо предъявленное требование являлось необоснованным; части 23 статьи 95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закрепляющей, что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пункта 11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(далее – Правила определения размера штрафа), утвержденных Постановлением Правительства Российской Федерации от 30 августа 2017 года № 1042, согласно которому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 Как следует из представленных материалов, постановлением арбитражного суда апелляционной инстанции, с которым согласились вышестоящие суды, отказано в иске ООО «МонтажСпецСтрой» (исполнителя) к государственному бюджетному учреждению (заказчику) о взыскании убытков. Судами установлено, что заказчик в связи с нарушением 3 сроков и объемов оказания услуг, предусмотренных договором, отказался от него в одностороннем порядке и направил требование в банк (гаранту) о выплате денежных средств по независимой гарантии, представленной в обеспечение исполнения договорных обязательств ООО «МонтажСпецСтрой». Гарант выплатил на основании требования заказчика (бенефициара) денежные средства по независимой гарантии и направил претензию ООО «МонтажСпецСтрой» (принципалу) о возмещении уплаченных по требованию бенефициара средств. В обоснование иска ООО «МонтажСпецСтрой» было среди прочего указано, что необоснованное предъявление бенефициаром требования к гаранту о выплате суммы гарантии повлекло причинение убытков принципалу. По мнению заявителя, оспариваемые нормы не соответствуют статьям 8, 19 (часть 1), 34 (часть 1), 35 (части 1–3), 45, 46 (части 1 и 2) и 55 (часть 3) Конституции Российской Федерации, поскольку создают неопределенность относительно размера выплаты по независимой гарантии, предоставленной в обеспечение исполнения контракта, в случае расторжения такого контракта и препятствуют взысканию в пользу исполнителя (принципала) убытков, равных разнице между необоснованно полученной заказчиком (бенефициаром) максимальной суммой, предусмотренной гарантией, и объемом требований заказчика к исполнителю, вытекающих из нарушения договора.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«МонтажСпецСтрой»,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