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Холвиной Елены Викторовны на нарушение ее конституционных прав положениями статей 110 и 2916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Е.В.Холвиной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судами апелляционной и кассационной инстанций, заявление гражданки Е.В.Холвиной (арбитражного управляющего) к банку о взыскании судебных расходов, понесенных в ходе рассмотрения обособленного спора в рамках дела о несостоятельности (банкротстве), удовлетворено частично – размер заявленной к взысканию суммы снижен с учетом принципа разумности.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суда кассационной инстанции. 2 В связи с этим Е.В.Холвина полагает, что часть 2 статьи 110 «Распределение судебных расходов между лицами, участвующими в деле» АПК Российской Федерации, позволяющая арбитражному суду произвольно снижать размер подлежащих взысканию с другой стороны по делу судебных расходов, указывая лишь на его чрезмерность и неразумность, и пункт 1 части 7 статьи 2916 «Рассмотрение кассационных жалобы, представления в Судебной коллегии Верховного Суда Российской Федерации» данного Кодекса, предоставляющий Верховному Суду Российской Федерации неограниченное полномочие признавать несущественным любое допущенное судами нарушение норм права, в том числе части 2 статьи 110 АПК Российской Федерации, не соответствуют статье 46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Холвиной Елены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