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Кожина Михаила Вячеславовича на нарушение его конституционных прав пунктом 1 статьи 164 и статьей 433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М.В.Кожина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М.В.Кожин оспаривает конституционность пункта 1 статьи 164 «Государственная регистрация сделок» и статьи 433 «Момент заключения договора» ГК Российской Федерации. Как следует из представленных материалов, определением суда апелляционной инстанции решение суда общей юрисдикции, принятое при новом рассмотрении дела, отменено, принято новое решение, согласно которому исковые требования к М.В.Кожину о взыскании задолженности по зарегистрированному в 2020 году договору аренды земельного участка за период с 7 декабря 2017 года по 31 декабря 2019 года и пени частично 2 удовлетворены.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Конституции Российской Федерации, в частности ее статье 46, поскольку по смыслу, придаваемому им правоприменительной практикой, допускают принятие противоречащих решений, а также нарушают право заявителя на 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Кожина Михаила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