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Хватова Бориса Валерьевича на нарушение его конституционных прав абзацем третьим пункта 2 статьи 166 и пунктом 2 статьи 209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Б.В.Хватова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Б.В.Хватов оспаривает конституционность абзаца третьего пункта 2 статьи 166 «Оспоримые и ничтожные сделки» во взаимосвязи с пунктом 2 статьи 209 «Содержание права собственности»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удовлетворены исковые требования о выселении, прекращении права пользования жилым помещением, предъявленные к Б.В.Хватову его братом; отказано в удовлетворении встречных требований о признании 2 недействительным договора дарения, заключенного между отцом и братом заявителя, применении последствий недействительности сделки, признании права пользования жилым помещением.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заявителя, оспариваемые во взаимосвязи положения противоречат Конституции Российской Федерации, ее статьям 1, 7, 17 (части 1 и 3), 18, 19, 40, 45, 46 и 118, поскольку они по смыслу, придаваемому им правоприменительной практикой, не позволяют заинтересованному лицу оспорить сделку по отчуждению имущества, а также противоречат принципу правовой определенности в вопросе установления круга заинтересованных лиц, имеющих право на признание оспариваемой сделки недействительной.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Хватова Бориса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