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Карновича Романа Александровича на нарушение его конституционных прав статьями 1079 и 1100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Р.А.Карновича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Р.А.Карнович, с которого судом взыскана компенсация морального вреда, причиненного близкому родственнику лица, погибшего в дорожно-транспортном происшествии, оспаривает конституционность статей 1079 «Ответственность за вред, причиненный деятельностью, создающей повышенную опасность для окружающих» и 1100 «Основания компенсации морального вреда» ГК Российской Федерации. По мнению Р.А.Карновича, оспариваемые нормы не соответствуют статье 46 (часть 1) Конституции Российской Федерации, поскольку предполагают возложение на владельца источника повышенной опасности, 2 невиновного в причинении вреда, обязанности компенсировать моральный вред родственникам другого владельца источника повышенной опасности, виновного в столкновении с участием транспортных средств.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Карновича Романа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