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Ассоциации по обеспечению инженерно-техническими коммуникациями «Вешки– газ» на нарушение ее конституционных прав частью третьей статьи 27 Федерального закона «О газоснабжении в Российской Федерации», а также абзацами вторым – четвертым пункта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Ассоциации по обеспечению инженерно-техническими коммуникациями «Вешки–газ»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по обеспечению инженерно-техническими коммуникациями «Вешки–газ» (далее также – Ассоциация) оспаривает конституционность части третьей статьи 27 «Доступ к газотранспортным и газораспределительным сетям» Федерального закона от 31 марта 1999 года № 69-ФЗ «О газоснабжении в Российской Федерации», а также абзацев второго – четвертого пункта 48 Правил подключения (технологического присоединения) газоиспользующего оборудования и объектов капитального 2 строительства к сетям газораспределения (утверждены Постановлением Правительства Российской Федерации от 13 сентября 2021 года № 1547, далее – Правила). Как следует из представленных материалов, заявителю на праве собственности принадлежит газопровод. Решением арбитражного суда, с которым согласились суды вышестоящих инстанций, удовлетворено требование газораспределительной организации об обязании Ассоциации не чинить препятствий в подключении к данному газопроводу объектов капитального строительства. По мнению заявителя, оспариваемые нормы противоречат Конституции Российской Федерации, ее статьям 1 (часть 1), 2, 8, 15, 18, 19 (части 1 и 2), 34 (часть 1), 45 (часть 2), 46 (часть 1) и 55, поскольку допускают их неоднозначное толкование и произвольное применение, а также по смыслу, придаваемому им судами, запрещают дачу предварительного согласия на подключение объекта капитального строительства через принадлежащие основному абоненту и обладающие достаточной пропускной способностью сети газораспределения и (или) газопотребления под условием компенсации затрат на строительство этих сетей.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Газоснабжение, будучи частью энергетической системы, обеспечивающей не только единство экономического пространства в Российской Федерации, но и ее стратегические интересы, обладает повышенной значимостью для общества и государства. С учетом этого, а также технологических особенностей газоснабжения, технической и экономической нецелесообразности, а во многих случаях – и невозможности прокладки отдельных газопроводов к объектам каждого потребителя газа установлены специальные правила доступа указанных субъектов к газотранспортным и газораспределительным сетям. В частности, основному 3 абоненту предписывается выдать согласие на подключение объекта капитального строительства через принадлежащие ему сети, при этом по смыслу оспариваемых норм согласование не может быть обусловлено получением какого-либо встречного предоставления. Данное правило является элементом правового механизма, необходимого для достижения социально-значимых целей политики Российской Федерации в области газоснабжения, в том числе улучшения социально-экономических условий жизни населения, и согласующегося с правовой позицией Конституционного Суда Российской Федерации, отмечавшего, что право частной собственности не является абсолютным, а федеральный законодатель, оставаясь связанным конституционно-правовыми пределами использования публично-правовых начал, вправе – в случае необходимости защиты общих (общественных) интересов в той или иной области – использовать в регулировании соответствующих отношений сочетание частноправовых и публично-правовых элементов, которое наиболее эффективным образом будет обеспечивать взаимодействие частных и публичных интересов в данной сфере (постановления от 16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Ассоциации по обеспечению инженерно-техническими коммуникациями «Вешки–газ»,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