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3201-О/2024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Арбузова Николая Владимировича на нарушение его конституционных прав пунктами 1 и 2 статьи 167 и пунктом 1 статьи 302 Гражданского кодекса Российской Федерации, а также статьей 12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Н.В.Арбузова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Н.В.Арбузов оспаривает конституционность пунктов 1 и 2 статьи 167 «Общие положения о последствиях недействительности сделки», пункта 1 статьи 302 «Истребование имущества от добросовестного приобретателя» ГК Российской Федерации, а также статьи 12 «Осуществление правосудия на основе состязательности и равноправия сторон» ГПК Российской Федерации. Из представленных материалов следует, что определением суда апелляционной инстанции отменены решение и дополнительное решение суда общей юрисдикции и, среди прочего, по требованию гражданки Д. за 2 ней в порядке наследования признано право собственности на жилой дом, договор купли-продажи которого между продавцом и Н.В.Арбузовым признан недействительным. Суд апелляционной инстанции указал, что принятие наследства гражданкой Л., наследником которой, в свою очередь, был продавец, не доказано и что заявитель, не осмотревший жилого дома и не вселявшийся в него, проявил неосмотрительность. Также суд отметил, что Д., во владении которой находится спорный жилой дом, избран правильный способ защиты права. В передаче кассационной жалобы на названное апелляционное определение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Н.В.Арбузова, оспариваемые положения Гражданского кодекса Российской Федерации противоречат статьям 19 (часть 1), 35 (части 1 и 2) и 40 (часть 1) Конституции Российской Федерации, поскольку по смыслу, придаваемому им правоприменительной практикой в системе действующего правового регулирования, они позволяют лишать недвижимого имущества добросовестного приобретателя (истребовать имущество из его владения). Противоречие статьи 12 ГПК Российской Федерации статьям 19 (часть 1) и 46 (часть 1) Конституции Российской Федерации заявитель усматривает в том, что по смыслу, придаваемому ей правоприменительной практикой в системе действующего правового регулирования, она позволяет суду в интересах стороны изменять основание иска.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Пункты 1 и 2 статьи 167 ГК Российской Федерации согласуются с предписанием статьи 15 (часть 2) Конституции Российской Федерации об обязанности граждан и их объединений соблюдать Конституцию Российской Федерации и законы и направлены на защиту имущественных интересов 3 участников гражданского оборота (определения Конституционного Суда Российской Федерации от 27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Арбузова Николая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