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«Альфа Строй» на нарушение его конституционных прав пунктами 1.3 и 1.6 Требований по 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трубопроводов, линий связи и электропередачи на территории Краснодарского края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«Альфа 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«Альфа Строй» (далее – ООО «Альфа Строй») оспаривает конституционность следующих положений Требований по предотвращению гибели объектов животного мира при осуществлении производственных процессов, а также при эксплуатации транспортных магистралей, трубопроводов, линий связи и электропередачи на территории Краснодарского края (утверждены постановлением главы администрации (губернатора) Краснодарского края от 23 августа 2016 года № 2 642; далее – Требования по предотвращению гибели объектов животного мира на территории Краснодарского края): пункта 1.3, в соответствии с которым данные Требования подлежат выполнению, в частности, при ведении инженерных изысканий, проектировании, строительстве, реконструкции, капитальном ремонте и эксплуатации объектов капитального строительства; пункта 1.6, согласно которому при проектировании объектов капитального строительства и иных сооружений любого типа, планировании иной хозяйственной деятельности, оказывающей воздействие на объекты животного мира и среду их обитания, необходимо производить оценку их воздействия на окружающую среду в части объектов животного мира и среды их обитания, предусматривать мероприятия по охране объектов животного мира и среды их обитания (в том числе мероприятия по предотвращению гибели объектов животного мира, компенсационные природоохранные мероприятия), а при строительстве, реконструкции, капитальном ремонте объектов – реализовывать упомянутые мероприятия. Как следует из представленных материалов, апелляционным определением апелляционного суда общей юрисдикции, с которым согласились суды вышестоящих инстанций, отказано в удовлетворении требований заявителя о признании недействующим пункта 1.6 Требований по предотвращению гибели объектов животного мира на территории Краснодарского края. По мнению заявителя, оспариваемые нормативные положения в их взаимосвязи не соответствуют статьям 11 (часть 3), 76 (часть 5), 80 (часть 3) и 120 (часть 2) Конституции Российской Федерации в той мере, в какой они вводят не предусмотренные федеральным законодательством и вопреки поручению Президента Российской Федерации дополнительные согласования и тем самым позволяют вмешиваться в компетенцию технического заказчика, изыскательских и проектных организаций по вопросам выполнения инженерных изысканий, проектных работ, составлению заданий на инженерные изыскания и проектные работы, а также вмешиваться в вопросы, находящиеся в 3 исключительной компетенции организаций, наделенных правом проводить экспертизу результатов инженерных изысканий и проектной документации.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«Альфа 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