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Б. на нарушение его конституционных прав рядом норм Гражданского процессуального кодекса Российской Федерации и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 оспаривает конституционность части первой статьи 3 «Право на обращение в суд», части второй статьи 13 «Обязательность судебных постановлений», части второй статьи 61 «Основания для освобождения от доказывания», части второй статьи 209 «Вступление в законную силу решения суда» и абзаца третьего статьи 220 «Основания прекращения производства по делу» ГПК Российской Федерации, а также пункта 3 статьи 48 «Установление происхождения ребенка», статьи 49 «Установление отцовства в судебном порядке», пунктов 1 и 2 статьи 51 «Запись родителей ребенка в книге записей рождений» Семейного кодекса Российской Федерации. 2 Определением суда общей юрисдикции, оставленным без изменения судом апелляционной инстанции, прекращено производство по делу об оспаривании Б. его отцовства, поскольку суды пришли к выводу о наличии вступившего в законную силу решения суда по тождественному спору. Кассационный суд общей юрисдикции отменил определения судов нижестоящих инстанций и направил дело для рассмотрения по существу в суд первой инстанции. Определением Судебной коллегии по гражданским делам Верховного Суда Российской Федерации определение кассационного суда общей юрисдикции отменено и оставлены в силе определения судов первой и апелляционной инстанций. Определением судьи Верховного Суда Российской Федерации отказано в передаче надзорной жалобы заявителя для рассмотрения в судебном заседании суда надзорной инстанции. Письмом заместителя Председателя Верховного Суда Российской Федерации Б. уведомлен об отсутствии оснований для внесения в Президиум Верховного Суда Российской Федерации представления о пересмотре судебных постановлений в порядке надзора. По мнению заявителя, оспариваемые положения в их истолковании Верховным Судом Российской Федерации противоречат Конституции Российской Федерации, поскольку они исключают возможность предъявления иска об оспаривании отцовства после того, как оно было установлено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48 и статья 49 Семейного кодекса Российской Федерации, определяющие порядок установления происхождения ребенка от конкретного лица (отцовство), рожденного у родителей, не состоящих в браке между собой, призваны обеспечить защиту прав детей, родители которых не состоят в браке между собой, и согласуются с конституционным принципом государственной поддержки и защиты семьи, материнства, 3 отцовства и детства, закрепленным в статьях 7 (часть 2) и 38 (часть 1) Конституции Российской Федерации (определения Конституционного Суда Российской Федерации от 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